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hanging="36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0" w:after="0" w:afterAutospacing="0" w:line="210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333333"/>
          <w:spacing w:val="0"/>
          <w:sz w:val="16"/>
          <w:szCs w:val="16"/>
          <w:u w:val="none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333333"/>
          <w:spacing w:val="0"/>
          <w:kern w:val="0"/>
          <w:sz w:val="16"/>
          <w:szCs w:val="16"/>
          <w:u w:val="none"/>
          <w:lang w:val="en-US" w:eastAsia="zh-CN" w:bidi="ar"/>
        </w:rPr>
        <w:t>План мероприятий по введению ФГОС в ДОУ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210" w:lineRule="atLeast"/>
        <w:ind w:left="0" w:right="0" w:hanging="360"/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Утверждаю: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Заведующая МБДОУОВ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«Детский сад» с. Устинкино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Кондратенко Н.В. 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right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Приказ № __ от «__» ___ 2014г.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center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План мероприятий по внедрению федеральных государственных образовательных стандартов дошкольного образования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  <w:jc w:val="center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в МБДОУОВ «Детский сад «Колосок» с. Устинкино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9"/>
        <w:gridCol w:w="3629"/>
        <w:gridCol w:w="1232"/>
        <w:gridCol w:w="1584"/>
        <w:gridCol w:w="483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Style w:val="5"/>
                <w:rFonts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№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Мероприятия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Сроки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Ответственные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Ожидаемый результат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 Создание нормативно-правового, методического и аналитического обеспечения реализации ФГОС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январь-май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Внесение дополнений и изменений в документы,регламентирующие деятельность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Приведение должностных инструкций работников ДО в соответствие с требованиями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январь-октябрь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Изучение базисного образовательного плана по переходу на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февраль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заместитель зав.по УВР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Знание нормативных требований образовательного стандарта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Моделирование образовательного плана ДОО с учётом методических рекомендаций к основной образовательной программе и социального запроса родителей обучающихся.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ежегодно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Создание модели образовательного процесса в ДОО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Внесение изменений в программу развития ДО.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года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Творческая группа по разработке программы развития ДО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Определение вектора развития ДОО в соответствии с ФГОС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Разработка образовательной программы ДОО.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года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завед.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Создание основной образовательной программы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Организация работы по разработке программ дополнительного образования с учётом системы воспитательной работы ДОУ.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года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Творческая группа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Наличие программ дополнительного образовани</w:t>
            </w:r>
            <w:bookmarkStart w:id="0" w:name="_GoBack"/>
            <w:bookmarkEnd w:id="0"/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1.8.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tbl>
            <w:tblPr>
              <w:tblW w:w="0" w:type="auto"/>
              <w:tblInd w:w="-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98"/>
              <w:gridCol w:w="2197"/>
              <w:gridCol w:w="298"/>
              <w:gridCol w:w="298"/>
              <w:gridCol w:w="29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Мониторинг среди педагогов ДОУ «Готовность педагогов к работе по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ФГОС»</w:t>
                  </w:r>
                </w:p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Участие в мониторинге результатов поэтапного перехода на ФГОС.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top"/>
                </w:tcPr>
                <w:p>
                  <w:pPr>
                    <w:pStyle w:val="6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120" w:afterAutospacing="0" w:line="210" w:lineRule="atLeast"/>
                    <w:ind w:left="0" w:right="0"/>
                  </w:pPr>
                  <w:r>
                    <w:rPr>
                      <w:rFonts w:hint="default" w:ascii="Trebuchet MS" w:hAnsi="Trebuchet MS" w:cs="Trebuchet MS"/>
                      <w:color w:val="333333"/>
                      <w:sz w:val="19"/>
                      <w:szCs w:val="19"/>
                      <w:bdr w:val="none" w:color="auto" w:sz="0" w:space="0"/>
                    </w:rPr>
                    <w:t> </w:t>
                  </w:r>
                </w:p>
              </w:tc>
            </w:tr>
          </w:tbl>
          <w:p>
            <w:pPr>
              <w:spacing w:before="0" w:beforeAutospacing="0" w:after="120" w:afterAutospacing="0" w:line="210" w:lineRule="atLeast"/>
              <w:ind w:left="0" w:right="0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март 2014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сентябрь 2014г.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Заведующая зам. зав.по УВР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Отслеживание результатов внедрения ФГОС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1.9.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Изучение методических рекомендаций к базисному образовательному плану и учёт их при моделировании ОП ДОУ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1.10.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Анализ предметно-пространственной среды в ДОО с учётом методических рекомендаций к основной образовательной программе ДО и внесение корректировки в основную образовательную программу по результатам анализа.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ноябрь 2014г.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 Создание организационного обеспечения реализации ФГОС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Создание рабочей (инициативной, проектной) группы.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февраль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Разработка и утверждение плана-графика введения ФГОС в ДОУ.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февраль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Семинар «Содержание и технология введения ФГОС» «Требования к условиям реализации образовательного процесса при введении ФГОС».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март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Перечень требований к условиям организации образовательного процесса в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Анализ результатов освоения образовательных программ дошкольной ступени обучения. Определение их соответствия требованиям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июнь-июль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Определение необходимых изменений в модели образовательной системы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Анализ условий и ресурсного обеспечения реализации образовательных программ в соответствии с требованиями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август-сентябрь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Оценка условий ДОО с учётом требований ФГОС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2.6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Планирование необходимого ресурсного обеспечения образовательного процесса в ДОУ.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май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2.7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Анализ соответствия материально-технической базы реализации ОП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апрель-май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Приведение в соответствие материально-технической базы реализации ОП с учётом требований ФГОС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2.8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Комплектование библиотеки ДОО базовыми документами и дополнительными материалами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года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Наличие в ДОО документов, литературы по введению ФГОС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2.90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Экспертиза условий, созданных в ОУ в соответствии с требованиями ФГОС.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май 2014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2.10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Проведение педагогического совета на тему: «Анализ готовности ДОУ к внедрению ФГОС».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август 2014г.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зам.зав.по УВР.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 Создание кадрового обеспечение введения ФГОС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Диагностика образовательных потребностей и профессиональных затруднений работников ОУ и внесение изменений в план курсовой подготовки ОУ.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январь-февраль 2014г.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зам.зав.по УВР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воспитатель 1кв. категории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Изучение в пед. коллективе базовых документов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2014-2015г.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зам.зав.по УВР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Тематические консультации, семинары – практикумы по актуальным проблемам перехода на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2014-2015г.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зам.зав. по УВР.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3.4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Повышение квалификации руководителей и педагогов по вопросам ФГОС ДО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период с 1.09. 2014г по декабрь 2015 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 зам.зав.по УВР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3.5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Обобщение опыта педагогов, реализующих программы дополнительного образования воспитанников.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2014-2015г.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 зав.по УВР.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4. Создание финансово-экономического обеспечения введения ФГОС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4.1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Определение финансовых затрат (объём ,направление) на подготовку и переход на ФГОС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Приобретение необходимого материально-технического оборудования в соответствии с требованиями ФГОС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январь 2014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В течение 2014-2015г.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4.2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Корректировка и выполнение муниципальных заданий ДОО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апрель 2014-апрель 2015г.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  <w:jc w:val="center"/>
            </w:pPr>
            <w:r>
              <w:rPr>
                <w:rStyle w:val="5"/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5. Создание информационного обеспечения введения ФГОС ДО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5.1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Участие педагогических работников в подготовке и проведение пед. чтений «Развитие педагогического потенциала как фактора повышения качества образования».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2014-2016г.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 зав.по УВР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5.2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Информирование родителей обучающихся о подготовке к внедрению ФГОС и результатах их ведения в ОУ через сайты, газеты, буклеты, информационные стенды, родительские собрания.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2014-2016г.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Зам.зав.по УВР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5.3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Обеспечение публичной отчётности ДОУ о ходе и результатах введения ФГОС.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2014-1016г.</w:t>
            </w:r>
          </w:p>
        </w:tc>
        <w:tc>
          <w:tcPr>
            <w:tcW w:w="0" w:type="auto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Заведующая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зам зав. по УВР.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210" w:lineRule="atLeast"/>
              <w:ind w:left="0" w:right="0"/>
            </w:pPr>
            <w:r>
              <w:rPr>
                <w:rFonts w:hint="default" w:ascii="Trebuchet MS" w:hAnsi="Trebuchet MS" w:cs="Trebuchet MS"/>
                <w:color w:val="333333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30" w:type="dxa"/>
              <w:left w:w="120" w:type="dxa"/>
              <w:bottom w:w="30" w:type="dxa"/>
              <w:right w:w="12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210" w:lineRule="atLeast"/>
              <w:jc w:val="left"/>
              <w:textAlignment w:val="top"/>
              <w:rPr>
                <w:rFonts w:hint="default" w:ascii="Trebuchet MS" w:hAnsi="Trebuchet MS" w:cs="Trebuchet MS"/>
                <w:color w:val="333333"/>
                <w:sz w:val="19"/>
                <w:szCs w:val="19"/>
              </w:rPr>
            </w:pPr>
            <w:r>
              <w:rPr>
                <w:rFonts w:hint="default" w:ascii="Trebuchet MS" w:hAnsi="Trebuchet MS" w:eastAsia="SimSun" w:cs="Trebuchet MS"/>
                <w:color w:val="333333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/>
      </w:pPr>
      <w:r>
        <w:rPr>
          <w:rStyle w:val="5"/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>
      <w:pPr>
        <w:ind w:left="0" w:leftChars="0" w:firstLine="0" w:firstLineChars="0"/>
      </w:pPr>
    </w:p>
    <w:sectPr>
      <w:pgSz w:w="11906" w:h="16838"/>
      <w:pgMar w:top="1440" w:right="7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A4E0FB"/>
    <w:multiLevelType w:val="multilevel"/>
    <w:tmpl w:val="65A4E0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60412"/>
    <w:rsid w:val="2E3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2022-02-06T08:05:00Z</dcterms:created>
  <dc:creator>Ирина</dc:creator>
  <cp:lastModifiedBy>Ирина</cp:lastModifiedBy>
  <dcterms:modified xsi:type="dcterms:W3CDTF">2022-02-06T08:06:32Z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